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402FA" w14:textId="5B0F7991" w:rsidR="006623B6" w:rsidRPr="005D6A81" w:rsidRDefault="006623B6" w:rsidP="006623B6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6623B6">
        <w:rPr>
          <w:rFonts w:ascii="Calibri Light" w:hAnsi="Calibri Light" w:cs="Calibri Light"/>
          <w:b/>
          <w:sz w:val="24"/>
          <w:szCs w:val="24"/>
        </w:rPr>
        <w:t xml:space="preserve">CAUSE NO. </w:t>
      </w:r>
      <w:r w:rsidR="005D6A81">
        <w:rPr>
          <w:rFonts w:ascii="Calibri Light" w:hAnsi="Calibri Light" w:cs="Calibri Light"/>
          <w:b/>
          <w:sz w:val="24"/>
          <w:szCs w:val="24"/>
          <w:u w:val="single"/>
        </w:rPr>
        <w:t>AB-77-77777</w:t>
      </w:r>
    </w:p>
    <w:p w14:paraId="3CE3056A" w14:textId="77777777" w:rsidR="006623B6" w:rsidRPr="006623B6" w:rsidRDefault="006623B6" w:rsidP="006623B6">
      <w:pPr>
        <w:jc w:val="both"/>
        <w:rPr>
          <w:rFonts w:ascii="Calibri Light" w:hAnsi="Calibri Light" w:cs="Calibri Light"/>
          <w:sz w:val="24"/>
          <w:szCs w:val="24"/>
        </w:rPr>
      </w:pPr>
    </w:p>
    <w:p w14:paraId="6C53901E" w14:textId="37BA01CE" w:rsidR="006623B6" w:rsidRPr="006623B6" w:rsidRDefault="005D6A81" w:rsidP="006623B6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  <w:u w:val="single"/>
        </w:rPr>
        <w:t>Sarah Smith</w:t>
      </w:r>
      <w:r w:rsidR="006623B6" w:rsidRPr="006623B6">
        <w:rPr>
          <w:rFonts w:ascii="Calibri Light" w:hAnsi="Calibri Light" w:cs="Calibri Light"/>
          <w:sz w:val="24"/>
          <w:szCs w:val="24"/>
        </w:rPr>
        <w:tab/>
      </w:r>
      <w:proofErr w:type="gramStart"/>
      <w:r w:rsidR="006623B6" w:rsidRPr="006623B6">
        <w:rPr>
          <w:rFonts w:ascii="Calibri Light" w:hAnsi="Calibri Light" w:cs="Calibri Light"/>
          <w:sz w:val="24"/>
          <w:szCs w:val="24"/>
        </w:rPr>
        <w:t xml:space="preserve">§  </w:t>
      </w:r>
      <w:r w:rsidR="006623B6" w:rsidRPr="006623B6">
        <w:rPr>
          <w:rFonts w:ascii="Calibri Light" w:hAnsi="Calibri Light" w:cs="Calibri Light"/>
          <w:sz w:val="24"/>
          <w:szCs w:val="24"/>
        </w:rPr>
        <w:tab/>
      </w:r>
      <w:proofErr w:type="gramEnd"/>
      <w:r w:rsidR="006623B6" w:rsidRPr="006623B6">
        <w:rPr>
          <w:rFonts w:ascii="Calibri Light" w:hAnsi="Calibri Light" w:cs="Calibri Light"/>
          <w:sz w:val="24"/>
          <w:szCs w:val="24"/>
        </w:rPr>
        <w:t>IN THE JUSTICE COURT</w:t>
      </w:r>
    </w:p>
    <w:p w14:paraId="533C330B" w14:textId="4366F204" w:rsidR="000C56BC" w:rsidRDefault="000C56BC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PLAINTIFF</w:t>
      </w:r>
      <w:r>
        <w:rPr>
          <w:rFonts w:ascii="Calibri Light" w:hAnsi="Calibri Light" w:cs="Calibri Light"/>
          <w:sz w:val="24"/>
          <w:szCs w:val="24"/>
        </w:rPr>
        <w:tab/>
        <w:t>§</w:t>
      </w:r>
    </w:p>
    <w:p w14:paraId="5CCCBC38" w14:textId="7B5DA97E" w:rsidR="006623B6" w:rsidRPr="006623B6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6623B6">
        <w:rPr>
          <w:rFonts w:ascii="Calibri Light" w:hAnsi="Calibri Light" w:cs="Calibri Light"/>
          <w:sz w:val="24"/>
          <w:szCs w:val="24"/>
        </w:rPr>
        <w:tab/>
        <w:t>§</w:t>
      </w:r>
    </w:p>
    <w:p w14:paraId="355D8AC8" w14:textId="42435D51" w:rsidR="006623B6" w:rsidRPr="005D6A81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6623B6">
        <w:rPr>
          <w:rFonts w:ascii="Calibri Light" w:hAnsi="Calibri Light" w:cs="Calibri Light"/>
          <w:sz w:val="24"/>
          <w:szCs w:val="24"/>
        </w:rPr>
        <w:t>v.</w:t>
      </w:r>
      <w:r w:rsidRPr="006623B6">
        <w:rPr>
          <w:rFonts w:ascii="Calibri Light" w:hAnsi="Calibri Light" w:cs="Calibri Light"/>
          <w:sz w:val="24"/>
          <w:szCs w:val="24"/>
        </w:rPr>
        <w:tab/>
        <w:t>§</w:t>
      </w:r>
      <w:r w:rsidRPr="006623B6">
        <w:rPr>
          <w:rFonts w:ascii="Calibri Light" w:hAnsi="Calibri Light" w:cs="Calibri Light"/>
          <w:sz w:val="24"/>
          <w:szCs w:val="24"/>
        </w:rPr>
        <w:tab/>
        <w:t xml:space="preserve">PRECINCT </w:t>
      </w:r>
      <w:r w:rsidR="005D6A81">
        <w:rPr>
          <w:rFonts w:ascii="Calibri Light" w:hAnsi="Calibri Light" w:cs="Calibri Light"/>
          <w:sz w:val="24"/>
          <w:szCs w:val="24"/>
          <w:u w:val="single"/>
        </w:rPr>
        <w:t>1</w:t>
      </w:r>
    </w:p>
    <w:p w14:paraId="60A1FDB6" w14:textId="77777777" w:rsidR="006623B6" w:rsidRPr="006623B6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6623B6">
        <w:rPr>
          <w:rFonts w:ascii="Calibri Light" w:hAnsi="Calibri Light" w:cs="Calibri Light"/>
          <w:sz w:val="24"/>
          <w:szCs w:val="24"/>
        </w:rPr>
        <w:tab/>
        <w:t>§</w:t>
      </w:r>
    </w:p>
    <w:p w14:paraId="418F0DE7" w14:textId="5CB5BC44" w:rsidR="006623B6" w:rsidRPr="006623B6" w:rsidRDefault="005D6A81" w:rsidP="006623B6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5D6A81">
        <w:rPr>
          <w:rFonts w:ascii="Calibri Light" w:hAnsi="Calibri Light" w:cs="Calibri Light"/>
          <w:sz w:val="24"/>
          <w:szCs w:val="24"/>
          <w:u w:val="single"/>
        </w:rPr>
        <w:t>Paul Johnson</w:t>
      </w:r>
      <w:r w:rsidR="006623B6" w:rsidRPr="006623B6">
        <w:rPr>
          <w:rFonts w:ascii="Calibri Light" w:hAnsi="Calibri Light" w:cs="Calibri Light"/>
          <w:sz w:val="24"/>
          <w:szCs w:val="24"/>
        </w:rPr>
        <w:tab/>
        <w:t>§</w:t>
      </w:r>
    </w:p>
    <w:p w14:paraId="28152824" w14:textId="04E8D3A2" w:rsidR="006623B6" w:rsidRPr="006623B6" w:rsidRDefault="006623B6" w:rsidP="006623B6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6623B6">
        <w:rPr>
          <w:rFonts w:ascii="Calibri Light" w:hAnsi="Calibri Light" w:cs="Calibri Light"/>
          <w:caps/>
          <w:sz w:val="24"/>
          <w:szCs w:val="24"/>
        </w:rPr>
        <w:t>Defendant</w:t>
      </w:r>
      <w:r w:rsidRPr="006623B6">
        <w:rPr>
          <w:rFonts w:ascii="Calibri Light" w:hAnsi="Calibri Light" w:cs="Calibri Light"/>
          <w:sz w:val="24"/>
          <w:szCs w:val="24"/>
        </w:rPr>
        <w:tab/>
        <w:t>§</w:t>
      </w:r>
      <w:r w:rsidRPr="006623B6">
        <w:rPr>
          <w:rFonts w:ascii="Calibri Light" w:hAnsi="Calibri Light" w:cs="Calibri Light"/>
          <w:sz w:val="24"/>
          <w:szCs w:val="24"/>
        </w:rPr>
        <w:tab/>
      </w:r>
      <w:proofErr w:type="gramStart"/>
      <w:r w:rsidR="005D6A81">
        <w:rPr>
          <w:rFonts w:ascii="Calibri Light" w:hAnsi="Calibri Light" w:cs="Calibri Light"/>
          <w:sz w:val="24"/>
          <w:szCs w:val="24"/>
          <w:u w:val="single"/>
        </w:rPr>
        <w:t xml:space="preserve">Travis </w:t>
      </w:r>
      <w:r w:rsidRPr="006623B6">
        <w:rPr>
          <w:rFonts w:ascii="Calibri Light" w:hAnsi="Calibri Light" w:cs="Calibri Light"/>
          <w:sz w:val="24"/>
          <w:szCs w:val="24"/>
        </w:rPr>
        <w:t xml:space="preserve"> COUNTY</w:t>
      </w:r>
      <w:proofErr w:type="gramEnd"/>
      <w:r w:rsidRPr="006623B6">
        <w:rPr>
          <w:rFonts w:ascii="Calibri Light" w:hAnsi="Calibri Light" w:cs="Calibri Light"/>
          <w:sz w:val="24"/>
          <w:szCs w:val="24"/>
        </w:rPr>
        <w:t>, TEXAS</w:t>
      </w:r>
    </w:p>
    <w:p w14:paraId="21683291" w14:textId="77777777" w:rsidR="00CB55D6" w:rsidRPr="00713802" w:rsidRDefault="00CB55D6" w:rsidP="00EE2EED">
      <w:pPr>
        <w:jc w:val="center"/>
        <w:rPr>
          <w:rFonts w:ascii="Cambria" w:hAnsi="Cambria"/>
          <w:sz w:val="24"/>
          <w:szCs w:val="24"/>
          <w:u w:val="single"/>
        </w:rPr>
      </w:pPr>
    </w:p>
    <w:p w14:paraId="5D071FC6" w14:textId="1F88A82B" w:rsidR="005D6A81" w:rsidRDefault="005D6A81" w:rsidP="00BD58BD">
      <w:pPr>
        <w:spacing w:before="120" w:after="120" w:line="288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MOTION TO APPLY TEXAS RULE OF EVIDENCE 408</w:t>
      </w:r>
    </w:p>
    <w:p w14:paraId="4B74549A" w14:textId="77777777" w:rsidR="00BD58BD" w:rsidRPr="00BD58BD" w:rsidRDefault="00BD58BD" w:rsidP="00BD58BD">
      <w:pPr>
        <w:spacing w:before="120" w:after="120" w:line="288" w:lineRule="auto"/>
        <w:jc w:val="center"/>
        <w:rPr>
          <w:rFonts w:asciiTheme="majorHAnsi" w:hAnsiTheme="majorHAnsi"/>
          <w:b/>
          <w:sz w:val="8"/>
          <w:szCs w:val="8"/>
        </w:rPr>
      </w:pPr>
    </w:p>
    <w:p w14:paraId="6A633C98" w14:textId="0B8A39D7" w:rsidR="005D6A81" w:rsidRDefault="005D6A81" w:rsidP="00FC61A9">
      <w:pPr>
        <w:ind w:right="547"/>
        <w:rPr>
          <w:rFonts w:asciiTheme="minorHAnsi" w:hAnsiTheme="minorHAnsi"/>
          <w:sz w:val="24"/>
          <w:szCs w:val="24"/>
        </w:rPr>
      </w:pPr>
      <w:r w:rsidRPr="005D6A81">
        <w:rPr>
          <w:rFonts w:asciiTheme="minorHAnsi" w:hAnsiTheme="minorHAnsi"/>
          <w:sz w:val="24"/>
          <w:szCs w:val="24"/>
        </w:rPr>
        <w:t xml:space="preserve">Plaintiff, </w:t>
      </w:r>
      <w:r>
        <w:rPr>
          <w:rFonts w:asciiTheme="minorHAnsi" w:hAnsiTheme="minorHAnsi"/>
          <w:sz w:val="24"/>
          <w:szCs w:val="24"/>
        </w:rPr>
        <w:t>Sarah Smith</w:t>
      </w:r>
      <w:r w:rsidRPr="005D6A81">
        <w:rPr>
          <w:rFonts w:asciiTheme="minorHAnsi" w:hAnsiTheme="minorHAnsi"/>
          <w:sz w:val="24"/>
          <w:szCs w:val="24"/>
        </w:rPr>
        <w:t xml:space="preserve"> (herein The Plaintiff), moves for Texas Rule of </w:t>
      </w:r>
      <w:r w:rsidRPr="005D6A81">
        <w:rPr>
          <w:rFonts w:asciiTheme="minorHAnsi" w:hAnsiTheme="minorHAnsi"/>
          <w:sz w:val="24"/>
          <w:szCs w:val="24"/>
        </w:rPr>
        <w:t>Evidence</w:t>
      </w:r>
      <w:r w:rsidRPr="005D6A81">
        <w:rPr>
          <w:rFonts w:asciiTheme="minorHAnsi" w:hAnsiTheme="minorHAnsi"/>
          <w:sz w:val="24"/>
          <w:szCs w:val="24"/>
        </w:rPr>
        <w:t xml:space="preserve"> (TRE) 408 to be</w:t>
      </w:r>
      <w:r>
        <w:rPr>
          <w:rFonts w:asciiTheme="minorHAnsi" w:hAnsiTheme="minorHAnsi"/>
          <w:sz w:val="24"/>
          <w:szCs w:val="24"/>
        </w:rPr>
        <w:t xml:space="preserve"> </w:t>
      </w:r>
      <w:r w:rsidRPr="005D6A81">
        <w:rPr>
          <w:rFonts w:asciiTheme="minorHAnsi" w:hAnsiTheme="minorHAnsi"/>
          <w:sz w:val="24"/>
          <w:szCs w:val="24"/>
        </w:rPr>
        <w:t>applied in the above case pursuant to the Texas Rules of Civil Procedure (TRCP) 500.3(e). TRE</w:t>
      </w:r>
      <w:r>
        <w:rPr>
          <w:rFonts w:asciiTheme="minorHAnsi" w:hAnsiTheme="minorHAnsi"/>
          <w:sz w:val="24"/>
          <w:szCs w:val="24"/>
        </w:rPr>
        <w:t xml:space="preserve"> </w:t>
      </w:r>
      <w:r w:rsidRPr="005D6A81">
        <w:rPr>
          <w:rFonts w:asciiTheme="minorHAnsi" w:hAnsiTheme="minorHAnsi"/>
          <w:sz w:val="24"/>
          <w:szCs w:val="24"/>
        </w:rPr>
        <w:t>408 prohibits the use of statements, offerings, or conduct in settlement negotiations to be</w:t>
      </w:r>
      <w:r>
        <w:rPr>
          <w:rFonts w:asciiTheme="minorHAnsi" w:hAnsiTheme="minorHAnsi"/>
          <w:sz w:val="24"/>
          <w:szCs w:val="24"/>
        </w:rPr>
        <w:t xml:space="preserve"> </w:t>
      </w:r>
      <w:r w:rsidRPr="005D6A81">
        <w:rPr>
          <w:rFonts w:asciiTheme="minorHAnsi" w:hAnsiTheme="minorHAnsi"/>
          <w:sz w:val="24"/>
          <w:szCs w:val="24"/>
        </w:rPr>
        <w:t xml:space="preserve">admitted as evidence in a disputed claim. TRCP S00.3(e) allows the </w:t>
      </w:r>
      <w:proofErr w:type="gramStart"/>
      <w:r w:rsidRPr="005D6A81">
        <w:rPr>
          <w:rFonts w:asciiTheme="minorHAnsi" w:hAnsiTheme="minorHAnsi"/>
          <w:sz w:val="24"/>
          <w:szCs w:val="24"/>
        </w:rPr>
        <w:t>justice court</w:t>
      </w:r>
      <w:proofErr w:type="gramEnd"/>
      <w:r w:rsidRPr="005D6A81">
        <w:rPr>
          <w:rFonts w:asciiTheme="minorHAnsi" w:hAnsiTheme="minorHAnsi"/>
          <w:sz w:val="24"/>
          <w:szCs w:val="24"/>
        </w:rPr>
        <w:t xml:space="preserve"> to apply the</w:t>
      </w:r>
      <w:r>
        <w:rPr>
          <w:rFonts w:asciiTheme="minorHAnsi" w:hAnsiTheme="minorHAnsi"/>
          <w:sz w:val="24"/>
          <w:szCs w:val="24"/>
        </w:rPr>
        <w:t xml:space="preserve"> </w:t>
      </w:r>
      <w:r w:rsidRPr="005D6A81">
        <w:rPr>
          <w:rFonts w:asciiTheme="minorHAnsi" w:hAnsiTheme="minorHAnsi"/>
          <w:sz w:val="24"/>
          <w:szCs w:val="24"/>
        </w:rPr>
        <w:t>Texas Rules of Evidence when the court determines that a particular rule must be followed to</w:t>
      </w:r>
      <w:r>
        <w:rPr>
          <w:rFonts w:asciiTheme="minorHAnsi" w:hAnsiTheme="minorHAnsi"/>
          <w:sz w:val="24"/>
          <w:szCs w:val="24"/>
        </w:rPr>
        <w:t xml:space="preserve"> </w:t>
      </w:r>
      <w:r w:rsidRPr="005D6A81">
        <w:rPr>
          <w:rFonts w:asciiTheme="minorHAnsi" w:hAnsiTheme="minorHAnsi"/>
          <w:sz w:val="24"/>
          <w:szCs w:val="24"/>
        </w:rPr>
        <w:t>ensure that the proceedings are fair to all parties.</w:t>
      </w:r>
    </w:p>
    <w:p w14:paraId="6A20EBC5" w14:textId="77777777" w:rsidR="00FC61A9" w:rsidRPr="005D6A81" w:rsidRDefault="00FC61A9" w:rsidP="00FC61A9">
      <w:pPr>
        <w:ind w:right="547"/>
        <w:rPr>
          <w:rFonts w:asciiTheme="minorHAnsi" w:hAnsiTheme="minorHAnsi"/>
          <w:sz w:val="24"/>
          <w:szCs w:val="24"/>
        </w:rPr>
      </w:pPr>
    </w:p>
    <w:p w14:paraId="7C187B37" w14:textId="77777777" w:rsidR="005D6A81" w:rsidRDefault="005D6A81" w:rsidP="00FC61A9">
      <w:pPr>
        <w:ind w:right="547"/>
        <w:rPr>
          <w:rFonts w:asciiTheme="minorHAnsi" w:hAnsiTheme="minorHAnsi"/>
          <w:sz w:val="24"/>
          <w:szCs w:val="24"/>
        </w:rPr>
      </w:pPr>
      <w:r w:rsidRPr="005D6A81">
        <w:rPr>
          <w:rFonts w:asciiTheme="minorHAnsi" w:hAnsiTheme="minorHAnsi"/>
          <w:sz w:val="24"/>
          <w:szCs w:val="24"/>
        </w:rPr>
        <w:t>This request is based on the following facts:</w:t>
      </w:r>
    </w:p>
    <w:p w14:paraId="3C25D41B" w14:textId="77777777" w:rsidR="00FC61A9" w:rsidRPr="005D6A81" w:rsidRDefault="00FC61A9" w:rsidP="00FC61A9">
      <w:pPr>
        <w:ind w:right="547"/>
        <w:rPr>
          <w:rFonts w:asciiTheme="minorHAnsi" w:hAnsiTheme="minorHAnsi"/>
          <w:sz w:val="24"/>
          <w:szCs w:val="24"/>
        </w:rPr>
      </w:pPr>
    </w:p>
    <w:p w14:paraId="523BF1AD" w14:textId="77777777" w:rsidR="005D6A81" w:rsidRPr="005D6A81" w:rsidRDefault="005D6A81" w:rsidP="00FC61A9">
      <w:pPr>
        <w:ind w:right="547"/>
        <w:rPr>
          <w:rFonts w:asciiTheme="minorHAnsi" w:hAnsiTheme="minorHAnsi"/>
          <w:sz w:val="24"/>
          <w:szCs w:val="24"/>
        </w:rPr>
      </w:pPr>
      <w:r w:rsidRPr="005D6A81">
        <w:rPr>
          <w:rFonts w:asciiTheme="minorHAnsi" w:hAnsiTheme="minorHAnsi"/>
          <w:sz w:val="24"/>
          <w:szCs w:val="24"/>
        </w:rPr>
        <w:t>The Plaintiff has engaged in settlement negotiations with the defendant. Defendant filed a</w:t>
      </w:r>
    </w:p>
    <w:p w14:paraId="288BCB94" w14:textId="53E20752" w:rsidR="005D6A81" w:rsidRDefault="005D6A81" w:rsidP="00FC61A9">
      <w:pPr>
        <w:ind w:right="547"/>
        <w:rPr>
          <w:rFonts w:asciiTheme="minorHAnsi" w:hAnsiTheme="minorHAnsi"/>
          <w:sz w:val="24"/>
          <w:szCs w:val="24"/>
        </w:rPr>
      </w:pPr>
      <w:r w:rsidRPr="005D6A81">
        <w:rPr>
          <w:rFonts w:asciiTheme="minorHAnsi" w:hAnsiTheme="minorHAnsi"/>
          <w:sz w:val="24"/>
          <w:szCs w:val="24"/>
        </w:rPr>
        <w:t>motion to dismiss the case, without providing any notice to The Plaintiff as required by TRCP</w:t>
      </w:r>
      <w:r>
        <w:rPr>
          <w:rFonts w:asciiTheme="minorHAnsi" w:hAnsiTheme="minorHAnsi"/>
          <w:sz w:val="24"/>
          <w:szCs w:val="24"/>
        </w:rPr>
        <w:t xml:space="preserve"> </w:t>
      </w:r>
      <w:r w:rsidRPr="005D6A81">
        <w:rPr>
          <w:rFonts w:asciiTheme="minorHAnsi" w:hAnsiTheme="minorHAnsi"/>
          <w:sz w:val="24"/>
          <w:szCs w:val="24"/>
        </w:rPr>
        <w:t>501.4. Defendant's motion tried to use The Plaintiff s settlement offer to disprove part of the</w:t>
      </w:r>
      <w:r>
        <w:rPr>
          <w:rFonts w:asciiTheme="minorHAnsi" w:hAnsiTheme="minorHAnsi"/>
          <w:sz w:val="24"/>
          <w:szCs w:val="24"/>
        </w:rPr>
        <w:t xml:space="preserve"> </w:t>
      </w:r>
      <w:r w:rsidRPr="005D6A81">
        <w:rPr>
          <w:rFonts w:asciiTheme="minorHAnsi" w:hAnsiTheme="minorHAnsi"/>
          <w:sz w:val="24"/>
          <w:szCs w:val="24"/>
        </w:rPr>
        <w:t>Plaintiffs claim.</w:t>
      </w:r>
    </w:p>
    <w:p w14:paraId="451C9B60" w14:textId="77777777" w:rsidR="00FC61A9" w:rsidRPr="005D6A81" w:rsidRDefault="00FC61A9" w:rsidP="00FC61A9">
      <w:pPr>
        <w:ind w:right="547"/>
        <w:rPr>
          <w:rFonts w:asciiTheme="minorHAnsi" w:hAnsiTheme="minorHAnsi"/>
          <w:sz w:val="24"/>
          <w:szCs w:val="24"/>
        </w:rPr>
      </w:pPr>
    </w:p>
    <w:p w14:paraId="59FDB5BC" w14:textId="78170851" w:rsidR="008814C4" w:rsidRDefault="005D6A81" w:rsidP="00FC61A9">
      <w:pPr>
        <w:ind w:right="547"/>
        <w:rPr>
          <w:rFonts w:asciiTheme="minorHAnsi" w:hAnsiTheme="minorHAnsi"/>
          <w:sz w:val="24"/>
          <w:szCs w:val="24"/>
        </w:rPr>
      </w:pPr>
      <w:r w:rsidRPr="005D6A81">
        <w:rPr>
          <w:rFonts w:asciiTheme="minorHAnsi" w:hAnsiTheme="minorHAnsi"/>
          <w:sz w:val="24"/>
          <w:szCs w:val="24"/>
        </w:rPr>
        <w:t>As this case was sent to mediation, both parties should be free to enter settlement negotiations</w:t>
      </w:r>
      <w:r>
        <w:rPr>
          <w:rFonts w:asciiTheme="minorHAnsi" w:hAnsiTheme="minorHAnsi"/>
          <w:sz w:val="24"/>
          <w:szCs w:val="24"/>
        </w:rPr>
        <w:t xml:space="preserve"> </w:t>
      </w:r>
      <w:r w:rsidRPr="005D6A81">
        <w:rPr>
          <w:rFonts w:asciiTheme="minorHAnsi" w:hAnsiTheme="minorHAnsi"/>
          <w:sz w:val="24"/>
          <w:szCs w:val="24"/>
        </w:rPr>
        <w:t>without the fear of any statements, offerings, or conduct being offered to prove or disprove the</w:t>
      </w:r>
      <w:r>
        <w:rPr>
          <w:rFonts w:asciiTheme="minorHAnsi" w:hAnsiTheme="minorHAnsi"/>
          <w:sz w:val="24"/>
          <w:szCs w:val="24"/>
        </w:rPr>
        <w:t xml:space="preserve"> </w:t>
      </w:r>
      <w:r w:rsidRPr="005D6A81">
        <w:rPr>
          <w:rFonts w:asciiTheme="minorHAnsi" w:hAnsiTheme="minorHAnsi"/>
          <w:sz w:val="24"/>
          <w:szCs w:val="24"/>
        </w:rPr>
        <w:t>disputed claim in all future dealings with the court.</w:t>
      </w:r>
    </w:p>
    <w:p w14:paraId="17D1686E" w14:textId="77777777" w:rsidR="00BD58BD" w:rsidRDefault="00BD58BD" w:rsidP="00FC61A9">
      <w:pPr>
        <w:ind w:right="547"/>
        <w:rPr>
          <w:rFonts w:asciiTheme="minorHAnsi" w:hAnsiTheme="minorHAnsi"/>
          <w:sz w:val="24"/>
          <w:szCs w:val="24"/>
        </w:rPr>
      </w:pPr>
    </w:p>
    <w:p w14:paraId="23277733" w14:textId="48DE6B91" w:rsidR="005D6A81" w:rsidRDefault="005D6A81" w:rsidP="00FC61A9">
      <w:pPr>
        <w:ind w:right="547"/>
        <w:rPr>
          <w:rFonts w:asciiTheme="minorHAnsi" w:hAnsiTheme="minorHAnsi"/>
          <w:sz w:val="24"/>
          <w:szCs w:val="24"/>
        </w:rPr>
      </w:pPr>
      <w:r w:rsidRPr="005D6A81">
        <w:rPr>
          <w:rFonts w:asciiTheme="minorHAnsi" w:hAnsiTheme="minorHAnsi"/>
          <w:sz w:val="24"/>
          <w:szCs w:val="24"/>
        </w:rPr>
        <w:t xml:space="preserve">This motion was filed at least 7 days prior to </w:t>
      </w:r>
      <w:r w:rsidRPr="005D6A81">
        <w:rPr>
          <w:rFonts w:asciiTheme="minorHAnsi" w:hAnsiTheme="minorHAnsi"/>
          <w:sz w:val="24"/>
          <w:szCs w:val="24"/>
        </w:rPr>
        <w:t>trial</w:t>
      </w:r>
      <w:r w:rsidRPr="005D6A81">
        <w:rPr>
          <w:rFonts w:asciiTheme="minorHAnsi" w:hAnsiTheme="minorHAnsi"/>
          <w:sz w:val="24"/>
          <w:szCs w:val="24"/>
        </w:rPr>
        <w:t>, and The Plaintiff asks for this motion to b</w:t>
      </w:r>
      <w:r>
        <w:rPr>
          <w:rFonts w:asciiTheme="minorHAnsi" w:hAnsiTheme="minorHAnsi"/>
          <w:sz w:val="24"/>
          <w:szCs w:val="24"/>
        </w:rPr>
        <w:t xml:space="preserve">e </w:t>
      </w:r>
      <w:r w:rsidRPr="005D6A81">
        <w:rPr>
          <w:rFonts w:asciiTheme="minorHAnsi" w:hAnsiTheme="minorHAnsi"/>
          <w:sz w:val="24"/>
          <w:szCs w:val="24"/>
        </w:rPr>
        <w:t>granted.</w:t>
      </w:r>
    </w:p>
    <w:p w14:paraId="03C8D4F4" w14:textId="77777777" w:rsidR="00FC61A9" w:rsidRDefault="00FC61A9" w:rsidP="00FC61A9">
      <w:pPr>
        <w:ind w:right="547"/>
        <w:rPr>
          <w:rFonts w:asciiTheme="minorHAnsi" w:hAnsiTheme="minorHAnsi"/>
          <w:sz w:val="24"/>
          <w:szCs w:val="24"/>
        </w:rPr>
      </w:pPr>
    </w:p>
    <w:p w14:paraId="60AE9CC6" w14:textId="7B85C837" w:rsidR="005D6A81" w:rsidRDefault="005D6A81" w:rsidP="00FC61A9">
      <w:pPr>
        <w:ind w:right="54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swear under penalty of perjury that the foregoing is true and correct. </w:t>
      </w:r>
    </w:p>
    <w:p w14:paraId="10E833E1" w14:textId="644F30B1" w:rsidR="005D6A81" w:rsidRDefault="00FC61A9" w:rsidP="005D6A81">
      <w:pPr>
        <w:spacing w:before="120" w:after="120" w:line="288" w:lineRule="auto"/>
        <w:ind w:right="54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4D0BEAF7" wp14:editId="351A9E15">
            <wp:extent cx="1028700" cy="609600"/>
            <wp:effectExtent l="0" t="0" r="0" b="0"/>
            <wp:docPr id="1721250762" name="Picture 1" descr="A close 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50762" name="Picture 1" descr="A close up of a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1EE38" w14:textId="6C991407" w:rsidR="005D6A81" w:rsidRPr="00FC61A9" w:rsidRDefault="00FC61A9" w:rsidP="00FC61A9">
      <w:pPr>
        <w:ind w:right="547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Plaintiff’s Signature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Date: </w:t>
      </w:r>
      <w:r>
        <w:rPr>
          <w:rFonts w:asciiTheme="minorHAnsi" w:hAnsiTheme="minorHAnsi"/>
          <w:sz w:val="24"/>
          <w:szCs w:val="24"/>
          <w:u w:val="single"/>
        </w:rPr>
        <w:t>March 17, 2025</w:t>
      </w:r>
    </w:p>
    <w:p w14:paraId="49E55264" w14:textId="0ED6B657" w:rsidR="00FC61A9" w:rsidRDefault="00FC61A9" w:rsidP="00FC61A9">
      <w:pPr>
        <w:ind w:right="54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777 Address Street </w:t>
      </w:r>
    </w:p>
    <w:p w14:paraId="3953DD4F" w14:textId="7B3B1BEA" w:rsidR="00FC61A9" w:rsidRDefault="00FC61A9" w:rsidP="00FC61A9">
      <w:pPr>
        <w:ind w:right="54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Austin, TX 78744</w:t>
      </w:r>
    </w:p>
    <w:p w14:paraId="34708F2E" w14:textId="77777777" w:rsidR="005D6A81" w:rsidRPr="006623B6" w:rsidRDefault="005D6A81" w:rsidP="005D6A81">
      <w:pPr>
        <w:spacing w:before="120" w:after="120" w:line="288" w:lineRule="auto"/>
        <w:ind w:right="547"/>
        <w:rPr>
          <w:rFonts w:asciiTheme="minorHAnsi" w:hAnsiTheme="minorHAnsi"/>
          <w:sz w:val="24"/>
          <w:szCs w:val="24"/>
        </w:rPr>
      </w:pPr>
    </w:p>
    <w:sectPr w:rsidR="005D6A81" w:rsidRPr="006623B6" w:rsidSect="00881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D5D2C" w14:textId="77777777" w:rsidR="00D355AB" w:rsidRDefault="00D355AB">
      <w:r>
        <w:separator/>
      </w:r>
    </w:p>
  </w:endnote>
  <w:endnote w:type="continuationSeparator" w:id="0">
    <w:p w14:paraId="11D6051F" w14:textId="77777777" w:rsidR="00D355AB" w:rsidRDefault="00D3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7F3B7" w14:textId="77777777" w:rsidR="00E11C2D" w:rsidRDefault="00E11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244FF" w14:textId="77777777" w:rsidR="005862BC" w:rsidRDefault="005862B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B868C" w14:textId="77777777" w:rsidR="00E11C2D" w:rsidRDefault="00E1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1C88E" w14:textId="77777777" w:rsidR="00D355AB" w:rsidRDefault="00D355AB">
      <w:r>
        <w:separator/>
      </w:r>
    </w:p>
  </w:footnote>
  <w:footnote w:type="continuationSeparator" w:id="0">
    <w:p w14:paraId="0B459A5B" w14:textId="77777777" w:rsidR="00D355AB" w:rsidRDefault="00D3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02B88" w14:textId="77777777" w:rsidR="00E11C2D" w:rsidRDefault="00E11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A60D7" w14:textId="77777777" w:rsidR="005862BC" w:rsidRDefault="00586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8E890" w14:textId="77777777" w:rsidR="00E11C2D" w:rsidRDefault="00E11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54F83"/>
    <w:multiLevelType w:val="hybridMultilevel"/>
    <w:tmpl w:val="542C8D54"/>
    <w:lvl w:ilvl="0" w:tplc="247E65E2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FC07B39"/>
    <w:multiLevelType w:val="hybridMultilevel"/>
    <w:tmpl w:val="3C06066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583697">
    <w:abstractNumId w:val="1"/>
  </w:num>
  <w:num w:numId="2" w16cid:durableId="21446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7"/>
    <w:rsid w:val="00092412"/>
    <w:rsid w:val="000B0974"/>
    <w:rsid w:val="000C56BC"/>
    <w:rsid w:val="000D7171"/>
    <w:rsid w:val="000E69D1"/>
    <w:rsid w:val="000E72F1"/>
    <w:rsid w:val="00106550"/>
    <w:rsid w:val="001167A4"/>
    <w:rsid w:val="001558F6"/>
    <w:rsid w:val="0023363A"/>
    <w:rsid w:val="002441E3"/>
    <w:rsid w:val="00326F64"/>
    <w:rsid w:val="00360445"/>
    <w:rsid w:val="00377D59"/>
    <w:rsid w:val="004531BC"/>
    <w:rsid w:val="00457D9F"/>
    <w:rsid w:val="00486F2C"/>
    <w:rsid w:val="004D7BFE"/>
    <w:rsid w:val="004E51FA"/>
    <w:rsid w:val="00544CE6"/>
    <w:rsid w:val="00577370"/>
    <w:rsid w:val="005862BC"/>
    <w:rsid w:val="005926E9"/>
    <w:rsid w:val="0059704C"/>
    <w:rsid w:val="005D6A81"/>
    <w:rsid w:val="006179CD"/>
    <w:rsid w:val="00620056"/>
    <w:rsid w:val="006623B6"/>
    <w:rsid w:val="0067365D"/>
    <w:rsid w:val="00685570"/>
    <w:rsid w:val="006A44B7"/>
    <w:rsid w:val="00713802"/>
    <w:rsid w:val="00722308"/>
    <w:rsid w:val="00872450"/>
    <w:rsid w:val="008814C4"/>
    <w:rsid w:val="00904BC2"/>
    <w:rsid w:val="00905312"/>
    <w:rsid w:val="00946769"/>
    <w:rsid w:val="00955EFC"/>
    <w:rsid w:val="009F23DD"/>
    <w:rsid w:val="00A348A9"/>
    <w:rsid w:val="00A4476E"/>
    <w:rsid w:val="00A64376"/>
    <w:rsid w:val="00AB6D20"/>
    <w:rsid w:val="00B4318A"/>
    <w:rsid w:val="00B569DC"/>
    <w:rsid w:val="00BD03E3"/>
    <w:rsid w:val="00BD58BD"/>
    <w:rsid w:val="00C72FE9"/>
    <w:rsid w:val="00CA3623"/>
    <w:rsid w:val="00CB55D6"/>
    <w:rsid w:val="00CC1623"/>
    <w:rsid w:val="00D355AB"/>
    <w:rsid w:val="00E11C2D"/>
    <w:rsid w:val="00ED0529"/>
    <w:rsid w:val="00EE2EED"/>
    <w:rsid w:val="00EE3BA1"/>
    <w:rsid w:val="00F22199"/>
    <w:rsid w:val="00F31DDD"/>
    <w:rsid w:val="00F34A8F"/>
    <w:rsid w:val="00F602DC"/>
    <w:rsid w:val="00F7279A"/>
    <w:rsid w:val="00FB79DD"/>
    <w:rsid w:val="00FC61A9"/>
    <w:rsid w:val="00FD550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CFD82C"/>
  <w15:chartTrackingRefBased/>
  <w15:docId w15:val="{D7D7C16C-7668-4D7A-916E-CDD1282C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4B7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A44B7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A44B7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48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6F2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230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F2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23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B431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3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318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3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318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New Trial</vt:lpstr>
    </vt:vector>
  </TitlesOfParts>
  <Company>TJCTC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New Trial</dc:title>
  <dc:subject/>
  <dc:creator>http://nolo.tjctc.org/exchange/</dc:creator>
  <cp:keywords>FORM 91</cp:keywords>
  <dc:description/>
  <cp:lastModifiedBy>Lackey, John W</cp:lastModifiedBy>
  <cp:revision>4</cp:revision>
  <dcterms:created xsi:type="dcterms:W3CDTF">2024-11-11T00:10:00Z</dcterms:created>
  <dcterms:modified xsi:type="dcterms:W3CDTF">2024-11-11T00:18:00Z</dcterms:modified>
  <cp:category>Civil</cp:category>
</cp:coreProperties>
</file>