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page" w:horzAnchor="page" w:tblpX="536" w:tblpY="1621"/>
        <w:tblW w:w="11065" w:type="dxa"/>
        <w:tblLayout w:type="fixed"/>
        <w:tblLook w:val="04A0" w:firstRow="1" w:lastRow="0" w:firstColumn="1" w:lastColumn="0" w:noHBand="0" w:noVBand="1"/>
      </w:tblPr>
      <w:tblGrid>
        <w:gridCol w:w="2245"/>
        <w:gridCol w:w="3060"/>
        <w:gridCol w:w="5760"/>
      </w:tblGrid>
      <w:tr w:rsidR="00C247F7" w14:paraId="3BA0324C" w14:textId="77777777" w:rsidTr="00383783">
        <w:trPr>
          <w:cnfStyle w:val="100000000000" w:firstRow="1" w:lastRow="0" w:firstColumn="0" w:lastColumn="0" w:oddVBand="0" w:evenVBand="0" w:oddHBand="0"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2245" w:type="dxa"/>
            <w:noWrap/>
          </w:tcPr>
          <w:p w14:paraId="211B8E30" w14:textId="6CBAABBB" w:rsidR="00C247F7" w:rsidRPr="00C247F7" w:rsidRDefault="00C247F7" w:rsidP="00383783">
            <w:pPr>
              <w:rPr>
                <w:b w:val="0"/>
                <w:bCs w:val="0"/>
                <w:sz w:val="28"/>
                <w:szCs w:val="28"/>
              </w:rPr>
            </w:pPr>
            <w:r w:rsidRPr="00007D00">
              <w:rPr>
                <w:sz w:val="28"/>
                <w:szCs w:val="28"/>
              </w:rPr>
              <w:t>Topic</w:t>
            </w:r>
          </w:p>
        </w:tc>
        <w:tc>
          <w:tcPr>
            <w:tcW w:w="3060" w:type="dxa"/>
            <w:noWrap/>
          </w:tcPr>
          <w:p w14:paraId="392A8A33" w14:textId="77777777" w:rsidR="00C247F7" w:rsidRPr="00007D00" w:rsidRDefault="00C247F7" w:rsidP="00383783">
            <w:pPr>
              <w:cnfStyle w:val="100000000000" w:firstRow="1" w:lastRow="0" w:firstColumn="0" w:lastColumn="0" w:oddVBand="0" w:evenVBand="0" w:oddHBand="0" w:evenHBand="0" w:firstRowFirstColumn="0" w:firstRowLastColumn="0" w:lastRowFirstColumn="0" w:lastRowLastColumn="0"/>
              <w:rPr>
                <w:sz w:val="28"/>
                <w:szCs w:val="28"/>
              </w:rPr>
            </w:pPr>
            <w:r w:rsidRPr="00007D00">
              <w:rPr>
                <w:sz w:val="28"/>
                <w:szCs w:val="28"/>
              </w:rPr>
              <w:t>Filed Before 1/1/2026</w:t>
            </w:r>
          </w:p>
        </w:tc>
        <w:tc>
          <w:tcPr>
            <w:tcW w:w="5760" w:type="dxa"/>
            <w:noWrap/>
          </w:tcPr>
          <w:p w14:paraId="30049A4C" w14:textId="77777777" w:rsidR="00C247F7" w:rsidRPr="00007D00" w:rsidRDefault="00C247F7" w:rsidP="00383783">
            <w:pPr>
              <w:cnfStyle w:val="100000000000" w:firstRow="1" w:lastRow="0" w:firstColumn="0" w:lastColumn="0" w:oddVBand="0" w:evenVBand="0" w:oddHBand="0" w:evenHBand="0" w:firstRowFirstColumn="0" w:firstRowLastColumn="0" w:lastRowFirstColumn="0" w:lastRowLastColumn="0"/>
              <w:rPr>
                <w:sz w:val="28"/>
                <w:szCs w:val="28"/>
              </w:rPr>
            </w:pPr>
            <w:r w:rsidRPr="00007D00">
              <w:rPr>
                <w:sz w:val="28"/>
                <w:szCs w:val="28"/>
              </w:rPr>
              <w:t>Filed On or After 1/1/2026</w:t>
            </w:r>
          </w:p>
        </w:tc>
      </w:tr>
      <w:tr w:rsidR="00C247F7" w14:paraId="2CF248C2" w14:textId="77777777" w:rsidTr="0038378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5" w:type="dxa"/>
            <w:noWrap/>
          </w:tcPr>
          <w:p w14:paraId="0BB65B8A" w14:textId="77777777" w:rsidR="00C247F7" w:rsidRDefault="00C247F7" w:rsidP="00383783">
            <w:r>
              <w:t>Notice to Pay or Vacate</w:t>
            </w:r>
          </w:p>
        </w:tc>
        <w:tc>
          <w:tcPr>
            <w:tcW w:w="3060" w:type="dxa"/>
            <w:noWrap/>
          </w:tcPr>
          <w:p w14:paraId="6DE26D02"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May be given at landlord’s option</w:t>
            </w:r>
          </w:p>
        </w:tc>
        <w:tc>
          <w:tcPr>
            <w:tcW w:w="5760" w:type="dxa"/>
            <w:noWrap/>
          </w:tcPr>
          <w:p w14:paraId="227CE88E"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If tenant has never been delinquent in rent, must give a “notice to pay or vacate” rather than a “notice to vacate”</w:t>
            </w:r>
          </w:p>
        </w:tc>
      </w:tr>
      <w:tr w:rsidR="00C247F7" w14:paraId="2CD86ECE" w14:textId="77777777" w:rsidTr="00383783">
        <w:trPr>
          <w:trHeight w:val="546"/>
        </w:trPr>
        <w:tc>
          <w:tcPr>
            <w:cnfStyle w:val="001000000000" w:firstRow="0" w:lastRow="0" w:firstColumn="1" w:lastColumn="0" w:oddVBand="0" w:evenVBand="0" w:oddHBand="0" w:evenHBand="0" w:firstRowFirstColumn="0" w:firstRowLastColumn="0" w:lastRowFirstColumn="0" w:lastRowLastColumn="0"/>
            <w:tcW w:w="2245" w:type="dxa"/>
            <w:noWrap/>
          </w:tcPr>
          <w:p w14:paraId="65DE04A7" w14:textId="77777777" w:rsidR="00C247F7" w:rsidRDefault="00C247F7" w:rsidP="00383783">
            <w:r>
              <w:t>Method of NTV Delivery</w:t>
            </w:r>
          </w:p>
        </w:tc>
        <w:tc>
          <w:tcPr>
            <w:tcW w:w="3060" w:type="dxa"/>
            <w:noWrap/>
          </w:tcPr>
          <w:p w14:paraId="11657421"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Mail; delivery in person; or posting on outside of door in certain situations with restrictions</w:t>
            </w:r>
          </w:p>
        </w:tc>
        <w:tc>
          <w:tcPr>
            <w:tcW w:w="5760" w:type="dxa"/>
            <w:noWrap/>
          </w:tcPr>
          <w:p w14:paraId="7C24DA52"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Mail; delivery to the inside of the premises in a conspicuous place; hand delivery to any tenant at least 16 years of age; electronically if the parties have agreed in writing</w:t>
            </w:r>
          </w:p>
        </w:tc>
      </w:tr>
      <w:tr w:rsidR="00C247F7" w14:paraId="1A6CFA54" w14:textId="77777777" w:rsidTr="00383783">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245" w:type="dxa"/>
            <w:noWrap/>
          </w:tcPr>
          <w:p w14:paraId="061FA7C9" w14:textId="77777777" w:rsidR="00C247F7" w:rsidRDefault="00C247F7" w:rsidP="00383783">
            <w:r>
              <w:t>Calculation of NTV Period</w:t>
            </w:r>
          </w:p>
        </w:tc>
        <w:tc>
          <w:tcPr>
            <w:tcW w:w="3060" w:type="dxa"/>
            <w:noWrap/>
          </w:tcPr>
          <w:p w14:paraId="0774806C"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Day notice is given is Day 0, then count all days</w:t>
            </w:r>
          </w:p>
        </w:tc>
        <w:tc>
          <w:tcPr>
            <w:tcW w:w="5760" w:type="dxa"/>
            <w:noWrap/>
          </w:tcPr>
          <w:p w14:paraId="1B6F5DC4"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Day notice is given is Day 0, if day ends on any weekend or state or federal holiday, extends to the next day that isn’t a weekend or holiday</w:t>
            </w:r>
          </w:p>
        </w:tc>
      </w:tr>
      <w:tr w:rsidR="00C247F7" w14:paraId="334EBFBF" w14:textId="77777777" w:rsidTr="00383783">
        <w:trPr>
          <w:trHeight w:val="326"/>
        </w:trPr>
        <w:tc>
          <w:tcPr>
            <w:cnfStyle w:val="001000000000" w:firstRow="0" w:lastRow="0" w:firstColumn="1" w:lastColumn="0" w:oddVBand="0" w:evenVBand="0" w:oddHBand="0" w:evenHBand="0" w:firstRowFirstColumn="0" w:firstRowLastColumn="0" w:lastRowFirstColumn="0" w:lastRowLastColumn="0"/>
            <w:tcW w:w="2245" w:type="dxa"/>
            <w:noWrap/>
          </w:tcPr>
          <w:p w14:paraId="61CC1EFD" w14:textId="77777777" w:rsidR="00C247F7" w:rsidRDefault="00C247F7" w:rsidP="00383783">
            <w:r>
              <w:t>Effect of Actual Receipt of NTV</w:t>
            </w:r>
          </w:p>
        </w:tc>
        <w:tc>
          <w:tcPr>
            <w:tcW w:w="3060" w:type="dxa"/>
            <w:noWrap/>
          </w:tcPr>
          <w:p w14:paraId="6ECDABC5"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None</w:t>
            </w:r>
          </w:p>
        </w:tc>
        <w:tc>
          <w:tcPr>
            <w:tcW w:w="5760" w:type="dxa"/>
            <w:noWrap/>
          </w:tcPr>
          <w:p w14:paraId="634398EE"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If shown that defendant received notice, delivery method doesn’t matter, notice is valid</w:t>
            </w:r>
          </w:p>
        </w:tc>
      </w:tr>
      <w:tr w:rsidR="003D13AC" w14:paraId="31EDB5C4" w14:textId="77777777" w:rsidTr="0038378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45" w:type="dxa"/>
            <w:noWrap/>
          </w:tcPr>
          <w:p w14:paraId="49EE8D52" w14:textId="0513504C" w:rsidR="003D13AC" w:rsidRDefault="003D13AC" w:rsidP="00383783">
            <w:r>
              <w:t>Application of Other Rules</w:t>
            </w:r>
          </w:p>
        </w:tc>
        <w:tc>
          <w:tcPr>
            <w:tcW w:w="3060" w:type="dxa"/>
            <w:noWrap/>
          </w:tcPr>
          <w:p w14:paraId="5FB054C2" w14:textId="1551EBE8" w:rsidR="003D13AC" w:rsidRDefault="003D13AC" w:rsidP="00383783">
            <w:pPr>
              <w:cnfStyle w:val="000000100000" w:firstRow="0" w:lastRow="0" w:firstColumn="0" w:lastColumn="0" w:oddVBand="0" w:evenVBand="0" w:oddHBand="1" w:evenHBand="0" w:firstRowFirstColumn="0" w:firstRowLastColumn="0" w:lastRowFirstColumn="0" w:lastRowLastColumn="0"/>
            </w:pPr>
            <w:r>
              <w:t>If the judge determines is necessary</w:t>
            </w:r>
          </w:p>
        </w:tc>
        <w:tc>
          <w:tcPr>
            <w:tcW w:w="5760" w:type="dxa"/>
            <w:noWrap/>
          </w:tcPr>
          <w:p w14:paraId="0AB08BBE" w14:textId="34F87BF8" w:rsidR="003D13AC" w:rsidRDefault="003D13AC" w:rsidP="00383783">
            <w:pPr>
              <w:cnfStyle w:val="000000100000" w:firstRow="0" w:lastRow="0" w:firstColumn="0" w:lastColumn="0" w:oddVBand="0" w:evenVBand="0" w:oddHBand="1" w:evenHBand="0" w:firstRowFirstColumn="0" w:firstRowLastColumn="0" w:lastRowFirstColumn="0" w:lastRowLastColumn="0"/>
            </w:pPr>
            <w:r>
              <w:t>May not apply Rules of Evidence or other Rules of Civil Procedure in eviction cases</w:t>
            </w:r>
          </w:p>
        </w:tc>
      </w:tr>
      <w:tr w:rsidR="00383783" w14:paraId="4A689768" w14:textId="77777777" w:rsidTr="00383783">
        <w:trPr>
          <w:trHeight w:val="546"/>
        </w:trPr>
        <w:tc>
          <w:tcPr>
            <w:cnfStyle w:val="001000000000" w:firstRow="0" w:lastRow="0" w:firstColumn="1" w:lastColumn="0" w:oddVBand="0" w:evenVBand="0" w:oddHBand="0" w:evenHBand="0" w:firstRowFirstColumn="0" w:firstRowLastColumn="0" w:lastRowFirstColumn="0" w:lastRowLastColumn="0"/>
            <w:tcW w:w="2245" w:type="dxa"/>
            <w:noWrap/>
          </w:tcPr>
          <w:p w14:paraId="6F1EE1B1" w14:textId="77777777" w:rsidR="00C247F7" w:rsidRDefault="00C247F7" w:rsidP="00383783">
            <w:r>
              <w:t>Petition Contents</w:t>
            </w:r>
          </w:p>
        </w:tc>
        <w:tc>
          <w:tcPr>
            <w:tcW w:w="3060" w:type="dxa"/>
            <w:noWrap/>
          </w:tcPr>
          <w:p w14:paraId="0EC5454E"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Needed to say how and when presuit notice was given</w:t>
            </w:r>
          </w:p>
        </w:tc>
        <w:tc>
          <w:tcPr>
            <w:tcW w:w="5760" w:type="dxa"/>
            <w:noWrap/>
          </w:tcPr>
          <w:p w14:paraId="41007A82"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Now must contain information about whether presuit notice was an NTV or a notice to pay or vacate, as well as if the tenant had been delinquent in rent before</w:t>
            </w:r>
          </w:p>
        </w:tc>
      </w:tr>
      <w:tr w:rsidR="00383783" w14:paraId="144CB689" w14:textId="77777777" w:rsidTr="0038378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5" w:type="dxa"/>
            <w:noWrap/>
          </w:tcPr>
          <w:p w14:paraId="298543E1" w14:textId="77777777" w:rsidR="00C247F7" w:rsidRDefault="00C247F7" w:rsidP="00383783">
            <w:r>
              <w:t>Who May Serve Citation</w:t>
            </w:r>
          </w:p>
        </w:tc>
        <w:tc>
          <w:tcPr>
            <w:tcW w:w="3060" w:type="dxa"/>
            <w:noWrap/>
          </w:tcPr>
          <w:p w14:paraId="7889D312"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Constable or sheriff</w:t>
            </w:r>
          </w:p>
        </w:tc>
        <w:tc>
          <w:tcPr>
            <w:tcW w:w="5760" w:type="dxa"/>
            <w:noWrap/>
          </w:tcPr>
          <w:p w14:paraId="5A734C8D"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If not served within 5 business days, plaintiff may ask another LEO trained in civil process to serve</w:t>
            </w:r>
          </w:p>
        </w:tc>
      </w:tr>
      <w:tr w:rsidR="00383783" w14:paraId="4D8469BD" w14:textId="77777777" w:rsidTr="00383783">
        <w:trPr>
          <w:trHeight w:val="106"/>
        </w:trPr>
        <w:tc>
          <w:tcPr>
            <w:cnfStyle w:val="001000000000" w:firstRow="0" w:lastRow="0" w:firstColumn="1" w:lastColumn="0" w:oddVBand="0" w:evenVBand="0" w:oddHBand="0" w:evenHBand="0" w:firstRowFirstColumn="0" w:firstRowLastColumn="0" w:lastRowFirstColumn="0" w:lastRowLastColumn="0"/>
            <w:tcW w:w="2245" w:type="dxa"/>
            <w:noWrap/>
          </w:tcPr>
          <w:p w14:paraId="5E035C2A" w14:textId="77777777" w:rsidR="00C247F7" w:rsidRDefault="00C247F7" w:rsidP="00383783">
            <w:r>
              <w:t>Days Before Trial for Service</w:t>
            </w:r>
          </w:p>
        </w:tc>
        <w:tc>
          <w:tcPr>
            <w:tcW w:w="3060" w:type="dxa"/>
            <w:noWrap/>
          </w:tcPr>
          <w:p w14:paraId="41F3B284"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At least six</w:t>
            </w:r>
          </w:p>
        </w:tc>
        <w:tc>
          <w:tcPr>
            <w:tcW w:w="5760" w:type="dxa"/>
            <w:noWrap/>
          </w:tcPr>
          <w:p w14:paraId="3D144413"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At least four</w:t>
            </w:r>
          </w:p>
        </w:tc>
      </w:tr>
      <w:tr w:rsidR="00383783" w14:paraId="3EA72872" w14:textId="77777777" w:rsidTr="00383783">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245" w:type="dxa"/>
            <w:noWrap/>
          </w:tcPr>
          <w:p w14:paraId="6BD95385" w14:textId="77777777" w:rsidR="00C247F7" w:rsidRDefault="00C247F7" w:rsidP="00383783">
            <w:r>
              <w:t>Summary Disposition in Squatter Cases</w:t>
            </w:r>
          </w:p>
        </w:tc>
        <w:tc>
          <w:tcPr>
            <w:tcW w:w="3060" w:type="dxa"/>
            <w:noWrap/>
          </w:tcPr>
          <w:p w14:paraId="0B6609AF"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Doesn’t exist</w:t>
            </w:r>
          </w:p>
        </w:tc>
        <w:tc>
          <w:tcPr>
            <w:tcW w:w="5760" w:type="dxa"/>
            <w:noWrap/>
          </w:tcPr>
          <w:p w14:paraId="648E357F"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 xml:space="preserve">May make a sworn motion, only if defendant is squatter, to receive judgment without trial if defendant doesn’t file a response within 4 days disputing facts. Citation must warn defendant. </w:t>
            </w:r>
          </w:p>
        </w:tc>
      </w:tr>
      <w:tr w:rsidR="0001031D" w14:paraId="2FD5B609" w14:textId="77777777" w:rsidTr="00383783">
        <w:trPr>
          <w:trHeight w:val="658"/>
        </w:trPr>
        <w:tc>
          <w:tcPr>
            <w:cnfStyle w:val="001000000000" w:firstRow="0" w:lastRow="0" w:firstColumn="1" w:lastColumn="0" w:oddVBand="0" w:evenVBand="0" w:oddHBand="0" w:evenHBand="0" w:firstRowFirstColumn="0" w:firstRowLastColumn="0" w:lastRowFirstColumn="0" w:lastRowLastColumn="0"/>
            <w:tcW w:w="2245" w:type="dxa"/>
            <w:noWrap/>
          </w:tcPr>
          <w:p w14:paraId="44D22264" w14:textId="33EF96B7" w:rsidR="0001031D" w:rsidRDefault="0001031D" w:rsidP="00383783">
            <w:r>
              <w:t>Immediate Possession Bonds</w:t>
            </w:r>
          </w:p>
        </w:tc>
        <w:tc>
          <w:tcPr>
            <w:tcW w:w="3060" w:type="dxa"/>
            <w:noWrap/>
          </w:tcPr>
          <w:p w14:paraId="4C7E3C3B" w14:textId="6866B8D6" w:rsidR="0001031D" w:rsidRDefault="0001031D" w:rsidP="00383783">
            <w:pPr>
              <w:cnfStyle w:val="000000000000" w:firstRow="0" w:lastRow="0" w:firstColumn="0" w:lastColumn="0" w:oddVBand="0" w:evenVBand="0" w:oddHBand="0" w:evenHBand="0" w:firstRowFirstColumn="0" w:firstRowLastColumn="0" w:lastRowFirstColumn="0" w:lastRowLastColumn="0"/>
            </w:pPr>
            <w:r>
              <w:t>Only change the time for a writ in event of default.</w:t>
            </w:r>
          </w:p>
        </w:tc>
        <w:tc>
          <w:tcPr>
            <w:tcW w:w="5760" w:type="dxa"/>
            <w:noWrap/>
          </w:tcPr>
          <w:p w14:paraId="21D97E79" w14:textId="7B8268D4" w:rsidR="0001031D" w:rsidRDefault="0001031D" w:rsidP="00383783">
            <w:pPr>
              <w:cnfStyle w:val="000000000000" w:firstRow="0" w:lastRow="0" w:firstColumn="0" w:lastColumn="0" w:oddVBand="0" w:evenVBand="0" w:oddHBand="0" w:evenHBand="0" w:firstRowFirstColumn="0" w:firstRowLastColumn="0" w:lastRowFirstColumn="0" w:lastRowLastColumn="0"/>
            </w:pPr>
            <w:r>
              <w:t>Plaintiff may get writ</w:t>
            </w:r>
            <w:r w:rsidR="00F51B0A">
              <w:t xml:space="preserve"> 7 days after service of notice of the possession bond</w:t>
            </w:r>
            <w:r>
              <w:t xml:space="preserve"> as long as defendant was either at trial or served with j/m by plaintiff and has not appealed. Citation must warn defendant.</w:t>
            </w:r>
          </w:p>
        </w:tc>
      </w:tr>
      <w:tr w:rsidR="00383783" w14:paraId="35F7DCBD" w14:textId="77777777" w:rsidTr="0038378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45" w:type="dxa"/>
            <w:noWrap/>
          </w:tcPr>
          <w:p w14:paraId="2DC7790E" w14:textId="77777777" w:rsidR="00C247F7" w:rsidRDefault="00C247F7" w:rsidP="00383783">
            <w:r>
              <w:t>Fair Trial Venue Change</w:t>
            </w:r>
          </w:p>
        </w:tc>
        <w:tc>
          <w:tcPr>
            <w:tcW w:w="3060" w:type="dxa"/>
            <w:noWrap/>
          </w:tcPr>
          <w:p w14:paraId="587BC72E"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Must be made at least 7 days before trial, unless good cause shown</w:t>
            </w:r>
          </w:p>
        </w:tc>
        <w:tc>
          <w:tcPr>
            <w:tcW w:w="5760" w:type="dxa"/>
            <w:noWrap/>
          </w:tcPr>
          <w:p w14:paraId="1F95194A"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Must be made at least 3 days before trial or 3 days after service, whichever is later, unless good cause shown</w:t>
            </w:r>
          </w:p>
        </w:tc>
      </w:tr>
      <w:tr w:rsidR="00383783" w14:paraId="3C124665" w14:textId="77777777" w:rsidTr="00383783">
        <w:trPr>
          <w:trHeight w:val="326"/>
        </w:trPr>
        <w:tc>
          <w:tcPr>
            <w:cnfStyle w:val="001000000000" w:firstRow="0" w:lastRow="0" w:firstColumn="1" w:lastColumn="0" w:oddVBand="0" w:evenVBand="0" w:oddHBand="0" w:evenHBand="0" w:firstRowFirstColumn="0" w:firstRowLastColumn="0" w:lastRowFirstColumn="0" w:lastRowLastColumn="0"/>
            <w:tcW w:w="2245" w:type="dxa"/>
            <w:noWrap/>
          </w:tcPr>
          <w:p w14:paraId="00DC02A0" w14:textId="77777777" w:rsidR="00C247F7" w:rsidRDefault="00C247F7" w:rsidP="00383783">
            <w:r>
              <w:t>Jury Request</w:t>
            </w:r>
          </w:p>
        </w:tc>
        <w:tc>
          <w:tcPr>
            <w:tcW w:w="3060" w:type="dxa"/>
            <w:noWrap/>
          </w:tcPr>
          <w:p w14:paraId="135D5DF0"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Must be made at least 3 days before trial</w:t>
            </w:r>
          </w:p>
        </w:tc>
        <w:tc>
          <w:tcPr>
            <w:tcW w:w="5760" w:type="dxa"/>
            <w:noWrap/>
          </w:tcPr>
          <w:p w14:paraId="7FE9814C" w14:textId="0B108952" w:rsidR="00C247F7" w:rsidRDefault="00C247F7" w:rsidP="00383783">
            <w:pPr>
              <w:cnfStyle w:val="000000000000" w:firstRow="0" w:lastRow="0" w:firstColumn="0" w:lastColumn="0" w:oddVBand="0" w:evenVBand="0" w:oddHBand="0" w:evenHBand="0" w:firstRowFirstColumn="0" w:firstRowLastColumn="0" w:lastRowFirstColumn="0" w:lastRowLastColumn="0"/>
            </w:pPr>
            <w:r>
              <w:t>Must be made at least 3 days before trial or 3 days after service, whichever is later</w:t>
            </w:r>
          </w:p>
        </w:tc>
      </w:tr>
      <w:tr w:rsidR="00C247F7" w14:paraId="34C3BDAE" w14:textId="77777777" w:rsidTr="00383783">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245" w:type="dxa"/>
            <w:noWrap/>
          </w:tcPr>
          <w:p w14:paraId="242363A4" w14:textId="77777777" w:rsidR="00C247F7" w:rsidRDefault="00C247F7" w:rsidP="00383783">
            <w:r>
              <w:t>Amount of Appeal Bond in Judgment</w:t>
            </w:r>
          </w:p>
        </w:tc>
        <w:tc>
          <w:tcPr>
            <w:tcW w:w="3060" w:type="dxa"/>
            <w:noWrap/>
          </w:tcPr>
          <w:p w14:paraId="7CB240F9"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Only in nonpayment of rent cases</w:t>
            </w:r>
          </w:p>
        </w:tc>
        <w:tc>
          <w:tcPr>
            <w:tcW w:w="5760" w:type="dxa"/>
            <w:noWrap/>
          </w:tcPr>
          <w:p w14:paraId="5D738BB6"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In all residential eviction cases</w:t>
            </w:r>
          </w:p>
        </w:tc>
      </w:tr>
      <w:tr w:rsidR="00383783" w14:paraId="57B69501" w14:textId="77777777" w:rsidTr="00383783">
        <w:trPr>
          <w:trHeight w:val="438"/>
        </w:trPr>
        <w:tc>
          <w:tcPr>
            <w:cnfStyle w:val="001000000000" w:firstRow="0" w:lastRow="0" w:firstColumn="1" w:lastColumn="0" w:oddVBand="0" w:evenVBand="0" w:oddHBand="0" w:evenHBand="0" w:firstRowFirstColumn="0" w:firstRowLastColumn="0" w:lastRowFirstColumn="0" w:lastRowLastColumn="0"/>
            <w:tcW w:w="2245" w:type="dxa"/>
            <w:noWrap/>
          </w:tcPr>
          <w:p w14:paraId="545079A7" w14:textId="77777777" w:rsidR="00C247F7" w:rsidRDefault="00C247F7" w:rsidP="00383783">
            <w:r>
              <w:t>Rent Must Be Paid Into Registry</w:t>
            </w:r>
          </w:p>
        </w:tc>
        <w:tc>
          <w:tcPr>
            <w:tcW w:w="3060" w:type="dxa"/>
            <w:noWrap/>
          </w:tcPr>
          <w:p w14:paraId="2E57D369"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Only in nonpayment of rent cases appealed by appeal bond or Statement of Inability</w:t>
            </w:r>
          </w:p>
        </w:tc>
        <w:tc>
          <w:tcPr>
            <w:tcW w:w="5760" w:type="dxa"/>
            <w:noWrap/>
          </w:tcPr>
          <w:p w14:paraId="7A563184"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In all residential eviction cases, regardless of method of appeal</w:t>
            </w:r>
          </w:p>
        </w:tc>
      </w:tr>
      <w:tr w:rsidR="00383783" w14:paraId="2171CDD2" w14:textId="77777777" w:rsidTr="0038378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45" w:type="dxa"/>
            <w:noWrap/>
          </w:tcPr>
          <w:p w14:paraId="127F318A" w14:textId="77777777" w:rsidR="00C247F7" w:rsidRDefault="00C247F7" w:rsidP="00383783">
            <w:r>
              <w:lastRenderedPageBreak/>
              <w:t>Counting Days for Filing w/Court or Paying Rent Into Registry</w:t>
            </w:r>
          </w:p>
        </w:tc>
        <w:tc>
          <w:tcPr>
            <w:tcW w:w="3060" w:type="dxa"/>
            <w:noWrap/>
          </w:tcPr>
          <w:p w14:paraId="349C3D5F"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Extends to next day if court closes before 5</w:t>
            </w:r>
          </w:p>
        </w:tc>
        <w:tc>
          <w:tcPr>
            <w:tcW w:w="5760" w:type="dxa"/>
            <w:noWrap/>
          </w:tcPr>
          <w:p w14:paraId="68EB2EDD" w14:textId="0B7F8E5B" w:rsidR="00C247F7" w:rsidRDefault="00C247F7" w:rsidP="00383783">
            <w:pPr>
              <w:cnfStyle w:val="000000100000" w:firstRow="0" w:lastRow="0" w:firstColumn="0" w:lastColumn="0" w:oddVBand="0" w:evenVBand="0" w:oddHBand="1" w:evenHBand="0" w:firstRowFirstColumn="0" w:firstRowLastColumn="0" w:lastRowFirstColumn="0" w:lastRowLastColumn="0"/>
            </w:pPr>
            <w:r>
              <w:t xml:space="preserve">Extends to next day if final day is a holiday (even if court open) or court closes </w:t>
            </w:r>
            <w:r w:rsidR="003D13AC">
              <w:t>for all or part of the day.</w:t>
            </w:r>
          </w:p>
        </w:tc>
      </w:tr>
      <w:tr w:rsidR="00383783" w14:paraId="72F633E8" w14:textId="77777777" w:rsidTr="00383783">
        <w:trPr>
          <w:trHeight w:val="219"/>
        </w:trPr>
        <w:tc>
          <w:tcPr>
            <w:cnfStyle w:val="001000000000" w:firstRow="0" w:lastRow="0" w:firstColumn="1" w:lastColumn="0" w:oddVBand="0" w:evenVBand="0" w:oddHBand="0" w:evenHBand="0" w:firstRowFirstColumn="0" w:firstRowLastColumn="0" w:lastRowFirstColumn="0" w:lastRowLastColumn="0"/>
            <w:tcW w:w="2245" w:type="dxa"/>
            <w:noWrap/>
          </w:tcPr>
          <w:p w14:paraId="25F1BC98" w14:textId="77777777" w:rsidR="00C247F7" w:rsidRDefault="00C247F7" w:rsidP="00383783">
            <w:r>
              <w:t>Determining Amount of Rent Paid Into Registry</w:t>
            </w:r>
          </w:p>
        </w:tc>
        <w:tc>
          <w:tcPr>
            <w:tcW w:w="3060" w:type="dxa"/>
            <w:noWrap/>
          </w:tcPr>
          <w:p w14:paraId="45DCDBC0"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Rental agreement</w:t>
            </w:r>
          </w:p>
        </w:tc>
        <w:tc>
          <w:tcPr>
            <w:tcW w:w="5760" w:type="dxa"/>
            <w:noWrap/>
          </w:tcPr>
          <w:p w14:paraId="44E727FF"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Rental agreement, or if there isn’t one, greater of $250 or fair market value</w:t>
            </w:r>
          </w:p>
        </w:tc>
      </w:tr>
      <w:tr w:rsidR="00C247F7" w14:paraId="7A5A64EB" w14:textId="77777777" w:rsidTr="00383783">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245" w:type="dxa"/>
            <w:noWrap/>
          </w:tcPr>
          <w:p w14:paraId="6A32360D" w14:textId="77777777" w:rsidR="00C247F7" w:rsidRDefault="00C247F7" w:rsidP="00383783">
            <w:r>
              <w:t>Tenant Affirmation to Appeal</w:t>
            </w:r>
          </w:p>
        </w:tc>
        <w:tc>
          <w:tcPr>
            <w:tcW w:w="3060" w:type="dxa"/>
            <w:noWrap/>
          </w:tcPr>
          <w:p w14:paraId="23508AC8"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None</w:t>
            </w:r>
          </w:p>
        </w:tc>
        <w:tc>
          <w:tcPr>
            <w:tcW w:w="5760" w:type="dxa"/>
            <w:noWrap/>
          </w:tcPr>
          <w:p w14:paraId="63E8F05F"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Must swear a good faith belief in a meritorious defense and that is not for purpose of delay (court does not determine if this is true or not)</w:t>
            </w:r>
          </w:p>
        </w:tc>
      </w:tr>
      <w:tr w:rsidR="00383783" w14:paraId="2B7CE661" w14:textId="77777777" w:rsidTr="00383783">
        <w:trPr>
          <w:trHeight w:val="438"/>
        </w:trPr>
        <w:tc>
          <w:tcPr>
            <w:cnfStyle w:val="001000000000" w:firstRow="0" w:lastRow="0" w:firstColumn="1" w:lastColumn="0" w:oddVBand="0" w:evenVBand="0" w:oddHBand="0" w:evenHBand="0" w:firstRowFirstColumn="0" w:firstRowLastColumn="0" w:lastRowFirstColumn="0" w:lastRowLastColumn="0"/>
            <w:tcW w:w="2245" w:type="dxa"/>
            <w:noWrap/>
          </w:tcPr>
          <w:p w14:paraId="78DE8799" w14:textId="77777777" w:rsidR="00C247F7" w:rsidRDefault="00C247F7" w:rsidP="00383783">
            <w:r>
              <w:t>When to Transmit Case to County Court</w:t>
            </w:r>
          </w:p>
        </w:tc>
        <w:tc>
          <w:tcPr>
            <w:tcW w:w="3060" w:type="dxa"/>
            <w:noWrap/>
          </w:tcPr>
          <w:p w14:paraId="0C04FF15"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Law is silent</w:t>
            </w:r>
          </w:p>
        </w:tc>
        <w:tc>
          <w:tcPr>
            <w:tcW w:w="5760" w:type="dxa"/>
            <w:noWrap/>
          </w:tcPr>
          <w:p w14:paraId="36BA7DE7"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As soon as rent is paid into registry, or if not paid then no earlier than 4p on the 6</w:t>
            </w:r>
            <w:r w:rsidRPr="00B23B6D">
              <w:rPr>
                <w:vertAlign w:val="superscript"/>
              </w:rPr>
              <w:t>th</w:t>
            </w:r>
            <w:r>
              <w:t xml:space="preserve"> day and no later than 4p on the 10</w:t>
            </w:r>
            <w:r w:rsidRPr="00B23B6D">
              <w:rPr>
                <w:vertAlign w:val="superscript"/>
              </w:rPr>
              <w:t>th</w:t>
            </w:r>
            <w:r>
              <w:t xml:space="preserve"> day after appeal</w:t>
            </w:r>
          </w:p>
        </w:tc>
      </w:tr>
      <w:tr w:rsidR="00F51B0A" w14:paraId="609CC144" w14:textId="77777777" w:rsidTr="00383783">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245" w:type="dxa"/>
            <w:noWrap/>
          </w:tcPr>
          <w:p w14:paraId="170E8805" w14:textId="509992D2" w:rsidR="00F51B0A" w:rsidRDefault="00F51B0A" w:rsidP="00383783">
            <w:r>
              <w:t>Pay County Court Filing Fees on Appeal</w:t>
            </w:r>
          </w:p>
        </w:tc>
        <w:tc>
          <w:tcPr>
            <w:tcW w:w="3060" w:type="dxa"/>
            <w:noWrap/>
          </w:tcPr>
          <w:p w14:paraId="2384EC14" w14:textId="4C527170" w:rsidR="00F51B0A" w:rsidRDefault="00F51B0A" w:rsidP="00383783">
            <w:pPr>
              <w:cnfStyle w:val="000000100000" w:firstRow="0" w:lastRow="0" w:firstColumn="0" w:lastColumn="0" w:oddVBand="0" w:evenVBand="0" w:oddHBand="1" w:evenHBand="0" w:firstRowFirstColumn="0" w:firstRowLastColumn="0" w:lastRowFirstColumn="0" w:lastRowLastColumn="0"/>
            </w:pPr>
            <w:r>
              <w:t>Within 20 days of notification by county clerk</w:t>
            </w:r>
          </w:p>
        </w:tc>
        <w:tc>
          <w:tcPr>
            <w:tcW w:w="5760" w:type="dxa"/>
            <w:noWrap/>
          </w:tcPr>
          <w:p w14:paraId="3D6180F3" w14:textId="3BD73B4D" w:rsidR="00F51B0A" w:rsidRDefault="00F51B0A" w:rsidP="00383783">
            <w:pPr>
              <w:cnfStyle w:val="000000100000" w:firstRow="0" w:lastRow="0" w:firstColumn="0" w:lastColumn="0" w:oddVBand="0" w:evenVBand="0" w:oddHBand="1" w:evenHBand="0" w:firstRowFirstColumn="0" w:firstRowLastColumn="0" w:lastRowFirstColumn="0" w:lastRowLastColumn="0"/>
            </w:pPr>
            <w:r>
              <w:t>Within 7 days of notification by county clerk</w:t>
            </w:r>
          </w:p>
        </w:tc>
      </w:tr>
      <w:tr w:rsidR="00383783" w14:paraId="7A14F3D4" w14:textId="77777777" w:rsidTr="00383783">
        <w:trPr>
          <w:trHeight w:val="219"/>
        </w:trPr>
        <w:tc>
          <w:tcPr>
            <w:cnfStyle w:val="001000000000" w:firstRow="0" w:lastRow="0" w:firstColumn="1" w:lastColumn="0" w:oddVBand="0" w:evenVBand="0" w:oddHBand="0" w:evenHBand="0" w:firstRowFirstColumn="0" w:firstRowLastColumn="0" w:lastRowFirstColumn="0" w:lastRowLastColumn="0"/>
            <w:tcW w:w="2245" w:type="dxa"/>
            <w:noWrap/>
          </w:tcPr>
          <w:p w14:paraId="719EDA72" w14:textId="77777777" w:rsidR="00C247F7" w:rsidRDefault="00C247F7" w:rsidP="00383783">
            <w:r>
              <w:t>Plenary Power to Modify/Vacate Judgment</w:t>
            </w:r>
          </w:p>
        </w:tc>
        <w:tc>
          <w:tcPr>
            <w:tcW w:w="3060" w:type="dxa"/>
            <w:noWrap/>
          </w:tcPr>
          <w:p w14:paraId="762F44FE" w14:textId="77777777" w:rsidR="00C247F7" w:rsidRDefault="00C247F7" w:rsidP="00383783">
            <w:pPr>
              <w:cnfStyle w:val="000000000000" w:firstRow="0" w:lastRow="0" w:firstColumn="0" w:lastColumn="0" w:oddVBand="0" w:evenVBand="0" w:oddHBand="0" w:evenHBand="0" w:firstRowFirstColumn="0" w:firstRowLastColumn="0" w:lastRowFirstColumn="0" w:lastRowLastColumn="0"/>
            </w:pPr>
            <w:r>
              <w:t>Law is silent</w:t>
            </w:r>
          </w:p>
        </w:tc>
        <w:tc>
          <w:tcPr>
            <w:tcW w:w="5760" w:type="dxa"/>
            <w:noWrap/>
          </w:tcPr>
          <w:p w14:paraId="0E76AE9A" w14:textId="63A63266" w:rsidR="00C247F7" w:rsidRDefault="00F51B0A" w:rsidP="00383783">
            <w:pPr>
              <w:cnfStyle w:val="000000000000" w:firstRow="0" w:lastRow="0" w:firstColumn="0" w:lastColumn="0" w:oddVBand="0" w:evenVBand="0" w:oddHBand="0" w:evenHBand="0" w:firstRowFirstColumn="0" w:firstRowLastColumn="0" w:lastRowFirstColumn="0" w:lastRowLastColumn="0"/>
            </w:pPr>
            <w:r>
              <w:t xml:space="preserve">Until an appeal is perfected or the day after the appeal is due. </w:t>
            </w:r>
          </w:p>
        </w:tc>
      </w:tr>
      <w:tr w:rsidR="00383783" w14:paraId="4D0ECC6B" w14:textId="77777777" w:rsidTr="0038378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45" w:type="dxa"/>
            <w:noWrap/>
          </w:tcPr>
          <w:p w14:paraId="10DAFA77" w14:textId="77777777" w:rsidR="00C247F7" w:rsidRDefault="00C247F7" w:rsidP="00383783">
            <w:r>
              <w:t>Who May Execute Writ of Possession</w:t>
            </w:r>
          </w:p>
        </w:tc>
        <w:tc>
          <w:tcPr>
            <w:tcW w:w="3060" w:type="dxa"/>
            <w:noWrap/>
          </w:tcPr>
          <w:p w14:paraId="3BC750D1"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Constable or sheriff</w:t>
            </w:r>
          </w:p>
        </w:tc>
        <w:tc>
          <w:tcPr>
            <w:tcW w:w="5760" w:type="dxa"/>
            <w:noWrap/>
          </w:tcPr>
          <w:p w14:paraId="6874347F" w14:textId="77777777" w:rsidR="00C247F7" w:rsidRDefault="00C247F7" w:rsidP="00383783">
            <w:pPr>
              <w:cnfStyle w:val="000000100000" w:firstRow="0" w:lastRow="0" w:firstColumn="0" w:lastColumn="0" w:oddVBand="0" w:evenVBand="0" w:oddHBand="1" w:evenHBand="0" w:firstRowFirstColumn="0" w:firstRowLastColumn="0" w:lastRowFirstColumn="0" w:lastRowLastColumn="0"/>
            </w:pPr>
            <w:r>
              <w:t>If not served within 5 business days, plaintiff may ask another LEO trained in civil process to serve</w:t>
            </w:r>
          </w:p>
        </w:tc>
      </w:tr>
    </w:tbl>
    <w:p w14:paraId="2F1671A8" w14:textId="77777777" w:rsidR="00383783" w:rsidRDefault="00383783" w:rsidP="00383783">
      <w:pPr>
        <w:spacing w:before="120" w:after="120" w:line="288" w:lineRule="auto"/>
      </w:pPr>
    </w:p>
    <w:p w14:paraId="6C3FD3C1" w14:textId="010EC7DF" w:rsidR="00C247F7" w:rsidRPr="00383783" w:rsidRDefault="00C247F7" w:rsidP="00383783">
      <w:pPr>
        <w:spacing w:before="120" w:after="120" w:line="288" w:lineRule="auto"/>
        <w:rPr>
          <w:b/>
          <w:bCs/>
          <w:i/>
          <w:iCs/>
          <w:sz w:val="28"/>
          <w:szCs w:val="28"/>
        </w:rPr>
      </w:pPr>
      <w:r w:rsidRPr="00383783">
        <w:rPr>
          <w:b/>
          <w:bCs/>
          <w:i/>
          <w:iCs/>
          <w:sz w:val="28"/>
          <w:szCs w:val="28"/>
        </w:rPr>
        <w:t xml:space="preserve">This is a summary of changes made by SB 38, and the changes to the Texas Rules of Civil Procedure, which go into effect for eviction suits filed on or after January 1, 2026. This is just a summary, for full information please review the updated Evictions Deskbook, the TJCTC legislative update materials at </w:t>
      </w:r>
      <w:hyperlink r:id="rId6" w:history="1">
        <w:r w:rsidRPr="00383783">
          <w:rPr>
            <w:rStyle w:val="Hyperlink"/>
            <w:b/>
            <w:bCs/>
            <w:i/>
            <w:iCs/>
            <w:sz w:val="28"/>
            <w:szCs w:val="28"/>
          </w:rPr>
          <w:t>www.tjctc.org/legislative</w:t>
        </w:r>
      </w:hyperlink>
      <w:r w:rsidRPr="00383783">
        <w:rPr>
          <w:b/>
          <w:bCs/>
          <w:i/>
          <w:iCs/>
          <w:sz w:val="28"/>
          <w:szCs w:val="28"/>
        </w:rPr>
        <w:t xml:space="preserve">, and the text of SB 38 and the Rules of Civil Procedure. </w:t>
      </w:r>
    </w:p>
    <w:p w14:paraId="35367B8D" w14:textId="59490ACB" w:rsidR="00E44472" w:rsidRDefault="00E44472"/>
    <w:sectPr w:rsidR="00E444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3E66" w14:textId="77777777" w:rsidR="00007D00" w:rsidRDefault="00007D00" w:rsidP="00007D00">
      <w:pPr>
        <w:spacing w:after="0" w:line="240" w:lineRule="auto"/>
      </w:pPr>
      <w:r>
        <w:separator/>
      </w:r>
    </w:p>
  </w:endnote>
  <w:endnote w:type="continuationSeparator" w:id="0">
    <w:p w14:paraId="7CF10854" w14:textId="77777777" w:rsidR="00007D00" w:rsidRDefault="00007D00" w:rsidP="0000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5D5F" w14:textId="77777777" w:rsidR="00007D00" w:rsidRDefault="00007D00" w:rsidP="00007D00">
      <w:pPr>
        <w:spacing w:after="0" w:line="240" w:lineRule="auto"/>
      </w:pPr>
      <w:r>
        <w:separator/>
      </w:r>
    </w:p>
  </w:footnote>
  <w:footnote w:type="continuationSeparator" w:id="0">
    <w:p w14:paraId="3B11F204" w14:textId="77777777" w:rsidR="00007D00" w:rsidRDefault="00007D00" w:rsidP="00007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B828" w14:textId="060AB99E" w:rsidR="00007D00" w:rsidRPr="00007D00" w:rsidRDefault="00007D00">
    <w:pPr>
      <w:pStyle w:val="Header"/>
      <w:rPr>
        <w:sz w:val="32"/>
        <w:szCs w:val="32"/>
      </w:rPr>
    </w:pPr>
    <w:r w:rsidRPr="00007D00">
      <w:rPr>
        <w:sz w:val="32"/>
        <w:szCs w:val="32"/>
      </w:rPr>
      <w:t>Eviction Law Comparison – Filed Before vs. On or After Jan. 1,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00"/>
    <w:rsid w:val="00007D00"/>
    <w:rsid w:val="0001031D"/>
    <w:rsid w:val="002D549B"/>
    <w:rsid w:val="00383783"/>
    <w:rsid w:val="003D13AC"/>
    <w:rsid w:val="0048542D"/>
    <w:rsid w:val="00531581"/>
    <w:rsid w:val="0072596D"/>
    <w:rsid w:val="007A05BB"/>
    <w:rsid w:val="00884534"/>
    <w:rsid w:val="00A770FB"/>
    <w:rsid w:val="00B23B6D"/>
    <w:rsid w:val="00C247F7"/>
    <w:rsid w:val="00C52486"/>
    <w:rsid w:val="00CD126B"/>
    <w:rsid w:val="00E44472"/>
    <w:rsid w:val="00F5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4AA0"/>
  <w15:chartTrackingRefBased/>
  <w15:docId w15:val="{CB924F0E-F111-456D-94DF-FE4E8477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D00"/>
    <w:rPr>
      <w:rFonts w:eastAsiaTheme="majorEastAsia" w:cstheme="majorBidi"/>
      <w:color w:val="272727" w:themeColor="text1" w:themeTint="D8"/>
    </w:rPr>
  </w:style>
  <w:style w:type="paragraph" w:styleId="Title">
    <w:name w:val="Title"/>
    <w:basedOn w:val="Normal"/>
    <w:next w:val="Normal"/>
    <w:link w:val="TitleChar"/>
    <w:uiPriority w:val="10"/>
    <w:qFormat/>
    <w:rsid w:val="0000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D00"/>
    <w:pPr>
      <w:spacing w:before="160"/>
      <w:jc w:val="center"/>
    </w:pPr>
    <w:rPr>
      <w:i/>
      <w:iCs/>
      <w:color w:val="404040" w:themeColor="text1" w:themeTint="BF"/>
    </w:rPr>
  </w:style>
  <w:style w:type="character" w:customStyle="1" w:styleId="QuoteChar">
    <w:name w:val="Quote Char"/>
    <w:basedOn w:val="DefaultParagraphFont"/>
    <w:link w:val="Quote"/>
    <w:uiPriority w:val="29"/>
    <w:rsid w:val="00007D00"/>
    <w:rPr>
      <w:i/>
      <w:iCs/>
      <w:color w:val="404040" w:themeColor="text1" w:themeTint="BF"/>
    </w:rPr>
  </w:style>
  <w:style w:type="paragraph" w:styleId="ListParagraph">
    <w:name w:val="List Paragraph"/>
    <w:basedOn w:val="Normal"/>
    <w:uiPriority w:val="34"/>
    <w:qFormat/>
    <w:rsid w:val="00007D00"/>
    <w:pPr>
      <w:ind w:left="720"/>
      <w:contextualSpacing/>
    </w:pPr>
  </w:style>
  <w:style w:type="character" w:styleId="IntenseEmphasis">
    <w:name w:val="Intense Emphasis"/>
    <w:basedOn w:val="DefaultParagraphFont"/>
    <w:uiPriority w:val="21"/>
    <w:qFormat/>
    <w:rsid w:val="00007D00"/>
    <w:rPr>
      <w:i/>
      <w:iCs/>
      <w:color w:val="0F4761" w:themeColor="accent1" w:themeShade="BF"/>
    </w:rPr>
  </w:style>
  <w:style w:type="paragraph" w:styleId="IntenseQuote">
    <w:name w:val="Intense Quote"/>
    <w:basedOn w:val="Normal"/>
    <w:next w:val="Normal"/>
    <w:link w:val="IntenseQuoteChar"/>
    <w:uiPriority w:val="30"/>
    <w:qFormat/>
    <w:rsid w:val="0000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D00"/>
    <w:rPr>
      <w:i/>
      <w:iCs/>
      <w:color w:val="0F4761" w:themeColor="accent1" w:themeShade="BF"/>
    </w:rPr>
  </w:style>
  <w:style w:type="character" w:styleId="IntenseReference">
    <w:name w:val="Intense Reference"/>
    <w:basedOn w:val="DefaultParagraphFont"/>
    <w:uiPriority w:val="32"/>
    <w:qFormat/>
    <w:rsid w:val="00007D00"/>
    <w:rPr>
      <w:b/>
      <w:bCs/>
      <w:smallCaps/>
      <w:color w:val="0F4761" w:themeColor="accent1" w:themeShade="BF"/>
      <w:spacing w:val="5"/>
    </w:rPr>
  </w:style>
  <w:style w:type="table" w:styleId="TableGrid">
    <w:name w:val="Table Grid"/>
    <w:basedOn w:val="TableNormal"/>
    <w:uiPriority w:val="39"/>
    <w:rsid w:val="0000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D00"/>
  </w:style>
  <w:style w:type="paragraph" w:styleId="Footer">
    <w:name w:val="footer"/>
    <w:basedOn w:val="Normal"/>
    <w:link w:val="FooterChar"/>
    <w:uiPriority w:val="99"/>
    <w:unhideWhenUsed/>
    <w:rsid w:val="00007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D00"/>
  </w:style>
  <w:style w:type="character" w:styleId="Hyperlink">
    <w:name w:val="Hyperlink"/>
    <w:basedOn w:val="DefaultParagraphFont"/>
    <w:uiPriority w:val="99"/>
    <w:unhideWhenUsed/>
    <w:rsid w:val="00E44472"/>
    <w:rPr>
      <w:color w:val="467886" w:themeColor="hyperlink"/>
      <w:u w:val="single"/>
    </w:rPr>
  </w:style>
  <w:style w:type="character" w:styleId="UnresolvedMention">
    <w:name w:val="Unresolved Mention"/>
    <w:basedOn w:val="DefaultParagraphFont"/>
    <w:uiPriority w:val="99"/>
    <w:semiHidden/>
    <w:unhideWhenUsed/>
    <w:rsid w:val="00E44472"/>
    <w:rPr>
      <w:color w:val="605E5C"/>
      <w:shd w:val="clear" w:color="auto" w:fill="E1DFDD"/>
    </w:rPr>
  </w:style>
  <w:style w:type="table" w:styleId="TableGridLight">
    <w:name w:val="Grid Table Light"/>
    <w:basedOn w:val="TableNormal"/>
    <w:uiPriority w:val="40"/>
    <w:rsid w:val="00C524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24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jctc.org/legislativ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751</Words>
  <Characters>3449</Characters>
  <Application>Microsoft Office Word</Application>
  <DocSecurity>0</DocSecurity>
  <Lines>156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Bronson T</dc:creator>
  <cp:keywords/>
  <dc:description/>
  <cp:lastModifiedBy>Tucker, Bronson T</cp:lastModifiedBy>
  <cp:revision>2</cp:revision>
  <dcterms:created xsi:type="dcterms:W3CDTF">2025-12-29T17:46:00Z</dcterms:created>
  <dcterms:modified xsi:type="dcterms:W3CDTF">2026-01-01T16:11:00Z</dcterms:modified>
</cp:coreProperties>
</file>